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E0" w:rsidRDefault="006227F8">
      <w:pPr>
        <w:rPr>
          <w:b/>
          <w:sz w:val="28"/>
          <w:szCs w:val="28"/>
        </w:rPr>
      </w:pPr>
      <w:r>
        <w:rPr>
          <w:b/>
          <w:sz w:val="28"/>
          <w:szCs w:val="28"/>
        </w:rPr>
        <w:t>Meeting the Gatsby Benchmark S</w:t>
      </w:r>
      <w:r w:rsidRPr="006227F8">
        <w:rPr>
          <w:b/>
          <w:sz w:val="28"/>
          <w:szCs w:val="28"/>
        </w:rPr>
        <w:t>tandards.</w:t>
      </w:r>
    </w:p>
    <w:p w:rsidR="006227F8" w:rsidRDefault="006227F8">
      <w:pPr>
        <w:rPr>
          <w:b/>
          <w:sz w:val="28"/>
          <w:szCs w:val="28"/>
        </w:rPr>
      </w:pPr>
    </w:p>
    <w:tbl>
      <w:tblPr>
        <w:tblStyle w:val="TableGrid"/>
        <w:tblW w:w="0" w:type="auto"/>
        <w:tblLook w:val="04A0" w:firstRow="1" w:lastRow="0" w:firstColumn="1" w:lastColumn="0" w:noHBand="0" w:noVBand="1"/>
      </w:tblPr>
      <w:tblGrid>
        <w:gridCol w:w="4724"/>
        <w:gridCol w:w="4725"/>
        <w:gridCol w:w="4725"/>
      </w:tblGrid>
      <w:tr w:rsidR="006227F8" w:rsidTr="006227F8">
        <w:tc>
          <w:tcPr>
            <w:tcW w:w="4724" w:type="dxa"/>
          </w:tcPr>
          <w:p w:rsidR="006227F8" w:rsidRDefault="006227F8">
            <w:pPr>
              <w:rPr>
                <w:b/>
                <w:sz w:val="28"/>
                <w:szCs w:val="28"/>
              </w:rPr>
            </w:pPr>
            <w:r>
              <w:rPr>
                <w:b/>
                <w:sz w:val="28"/>
                <w:szCs w:val="28"/>
              </w:rPr>
              <w:t>Benchmark</w:t>
            </w:r>
          </w:p>
        </w:tc>
        <w:tc>
          <w:tcPr>
            <w:tcW w:w="4725" w:type="dxa"/>
          </w:tcPr>
          <w:p w:rsidR="006227F8" w:rsidRDefault="006227F8">
            <w:pPr>
              <w:rPr>
                <w:b/>
                <w:sz w:val="28"/>
                <w:szCs w:val="28"/>
              </w:rPr>
            </w:pPr>
          </w:p>
        </w:tc>
        <w:tc>
          <w:tcPr>
            <w:tcW w:w="4725" w:type="dxa"/>
          </w:tcPr>
          <w:p w:rsidR="006227F8" w:rsidRDefault="006227F8">
            <w:pPr>
              <w:rPr>
                <w:b/>
                <w:sz w:val="28"/>
                <w:szCs w:val="28"/>
              </w:rPr>
            </w:pPr>
          </w:p>
        </w:tc>
      </w:tr>
      <w:tr w:rsidR="006227F8" w:rsidTr="006227F8">
        <w:tc>
          <w:tcPr>
            <w:tcW w:w="4724" w:type="dxa"/>
          </w:tcPr>
          <w:p w:rsidR="006227F8" w:rsidRPr="00C16920" w:rsidRDefault="006227F8" w:rsidP="006227F8">
            <w:pPr>
              <w:pStyle w:val="Default"/>
              <w:rPr>
                <w:sz w:val="20"/>
                <w:szCs w:val="20"/>
              </w:rPr>
            </w:pPr>
          </w:p>
          <w:tbl>
            <w:tblPr>
              <w:tblW w:w="0" w:type="auto"/>
              <w:tblBorders>
                <w:top w:val="nil"/>
                <w:left w:val="nil"/>
                <w:bottom w:val="nil"/>
                <w:right w:val="nil"/>
              </w:tblBorders>
              <w:tblLook w:val="0000" w:firstRow="0" w:lastRow="0" w:firstColumn="0" w:lastColumn="0" w:noHBand="0" w:noVBand="0"/>
            </w:tblPr>
            <w:tblGrid>
              <w:gridCol w:w="2642"/>
            </w:tblGrid>
            <w:tr w:rsidR="006227F8" w:rsidRPr="00C16920">
              <w:trPr>
                <w:trHeight w:val="245"/>
              </w:trPr>
              <w:tc>
                <w:tcPr>
                  <w:tcW w:w="0" w:type="auto"/>
                </w:tcPr>
                <w:p w:rsidR="006227F8" w:rsidRPr="00C16920" w:rsidRDefault="006227F8">
                  <w:pPr>
                    <w:pStyle w:val="Default"/>
                    <w:rPr>
                      <w:sz w:val="20"/>
                      <w:szCs w:val="20"/>
                    </w:rPr>
                  </w:pPr>
                  <w:r w:rsidRPr="00C16920">
                    <w:rPr>
                      <w:sz w:val="20"/>
                      <w:szCs w:val="20"/>
                    </w:rPr>
                    <w:t xml:space="preserve"> </w:t>
                  </w:r>
                  <w:r w:rsidRPr="00C16920">
                    <w:rPr>
                      <w:b/>
                      <w:bCs/>
                      <w:sz w:val="20"/>
                      <w:szCs w:val="20"/>
                    </w:rPr>
                    <w:t xml:space="preserve">A Stable Careers Programme </w:t>
                  </w:r>
                </w:p>
              </w:tc>
            </w:tr>
          </w:tbl>
          <w:p w:rsidR="006227F8" w:rsidRPr="00C16920" w:rsidRDefault="006227F8">
            <w:pPr>
              <w:rPr>
                <w:b/>
                <w:sz w:val="20"/>
                <w:szCs w:val="20"/>
              </w:rPr>
            </w:pPr>
          </w:p>
        </w:tc>
        <w:tc>
          <w:tcPr>
            <w:tcW w:w="4725" w:type="dxa"/>
          </w:tcPr>
          <w:p w:rsidR="006227F8" w:rsidRPr="00C16920" w:rsidRDefault="006227F8" w:rsidP="006227F8">
            <w:pPr>
              <w:pStyle w:val="Default"/>
              <w:rPr>
                <w:sz w:val="20"/>
                <w:szCs w:val="20"/>
              </w:rPr>
            </w:pPr>
          </w:p>
          <w:tbl>
            <w:tblPr>
              <w:tblW w:w="0" w:type="auto"/>
              <w:tblBorders>
                <w:top w:val="nil"/>
                <w:left w:val="nil"/>
                <w:bottom w:val="nil"/>
                <w:right w:val="nil"/>
              </w:tblBorders>
              <w:tblLook w:val="0000" w:firstRow="0" w:lastRow="0" w:firstColumn="0" w:lastColumn="0" w:noHBand="0" w:noVBand="0"/>
            </w:tblPr>
            <w:tblGrid>
              <w:gridCol w:w="4509"/>
            </w:tblGrid>
            <w:tr w:rsidR="006227F8" w:rsidRPr="00C16920">
              <w:trPr>
                <w:trHeight w:val="512"/>
              </w:trPr>
              <w:tc>
                <w:tcPr>
                  <w:tcW w:w="0" w:type="auto"/>
                </w:tcPr>
                <w:p w:rsidR="006227F8" w:rsidRPr="00C16920" w:rsidRDefault="006227F8">
                  <w:pPr>
                    <w:pStyle w:val="Default"/>
                    <w:rPr>
                      <w:sz w:val="20"/>
                      <w:szCs w:val="20"/>
                    </w:rPr>
                  </w:pPr>
                  <w:r w:rsidRPr="00C16920">
                    <w:rPr>
                      <w:sz w:val="20"/>
                      <w:szCs w:val="20"/>
                    </w:rPr>
                    <w:t xml:space="preserve"> Every school and college should have an embedded programme of career education and guidance that is known and understood by pupils, parents, teachers, governors and employers </w:t>
                  </w:r>
                </w:p>
              </w:tc>
            </w:tr>
          </w:tbl>
          <w:p w:rsidR="006227F8" w:rsidRPr="00C16920" w:rsidRDefault="006227F8">
            <w:pPr>
              <w:rPr>
                <w:b/>
                <w:sz w:val="20"/>
                <w:szCs w:val="20"/>
              </w:rPr>
            </w:pPr>
          </w:p>
        </w:tc>
        <w:tc>
          <w:tcPr>
            <w:tcW w:w="4725" w:type="dxa"/>
          </w:tcPr>
          <w:p w:rsidR="006227F8" w:rsidRPr="00C16920" w:rsidRDefault="003E6D97" w:rsidP="00342228">
            <w:pPr>
              <w:rPr>
                <w:sz w:val="20"/>
                <w:szCs w:val="20"/>
              </w:rPr>
            </w:pPr>
            <w:r w:rsidRPr="00C16920">
              <w:rPr>
                <w:sz w:val="20"/>
                <w:szCs w:val="20"/>
              </w:rPr>
              <w:t>At Newark orchard school there is a careers policy</w:t>
            </w:r>
            <w:r w:rsidR="00342228" w:rsidRPr="00C16920">
              <w:rPr>
                <w:sz w:val="20"/>
                <w:szCs w:val="20"/>
              </w:rPr>
              <w:t xml:space="preserve"> which is on the website and a careers flowchart which represents how careers education is taught in school from year 7. In addition, the curriculum is based around the Gatsby benchmark. We have support by Michelle from ‘Ideas for Careers’ an independent careers advice service. The curriculum is monitored by the careers coordinator. </w:t>
            </w:r>
          </w:p>
          <w:p w:rsidR="00A674A9" w:rsidRPr="00C16920" w:rsidRDefault="00A674A9" w:rsidP="00342228">
            <w:pPr>
              <w:rPr>
                <w:sz w:val="20"/>
                <w:szCs w:val="20"/>
              </w:rPr>
            </w:pPr>
            <w:r w:rsidRPr="00C16920">
              <w:rPr>
                <w:sz w:val="20"/>
                <w:szCs w:val="20"/>
              </w:rPr>
              <w:t>In Year 9 parents take</w:t>
            </w:r>
            <w:r w:rsidR="004111BF">
              <w:rPr>
                <w:sz w:val="20"/>
                <w:szCs w:val="20"/>
              </w:rPr>
              <w:t xml:space="preserve"> part in a transition visit to </w:t>
            </w:r>
            <w:r w:rsidR="00143CAE">
              <w:rPr>
                <w:sz w:val="20"/>
                <w:szCs w:val="20"/>
              </w:rPr>
              <w:t>the 14-18</w:t>
            </w:r>
            <w:r w:rsidRPr="00C16920">
              <w:rPr>
                <w:sz w:val="20"/>
                <w:szCs w:val="20"/>
              </w:rPr>
              <w:t xml:space="preserve"> </w:t>
            </w:r>
            <w:proofErr w:type="gramStart"/>
            <w:r w:rsidRPr="00C16920">
              <w:rPr>
                <w:sz w:val="20"/>
                <w:szCs w:val="20"/>
              </w:rPr>
              <w:t>department</w:t>
            </w:r>
            <w:proofErr w:type="gramEnd"/>
            <w:r w:rsidRPr="00C16920">
              <w:rPr>
                <w:sz w:val="20"/>
                <w:szCs w:val="20"/>
              </w:rPr>
              <w:t xml:space="preserve">. </w:t>
            </w:r>
            <w:r w:rsidR="00143CAE">
              <w:rPr>
                <w:sz w:val="20"/>
                <w:szCs w:val="20"/>
              </w:rPr>
              <w:t>The Deputy from the 14-18</w:t>
            </w:r>
            <w:r w:rsidR="00143CAE" w:rsidRPr="00C16920">
              <w:rPr>
                <w:sz w:val="20"/>
                <w:szCs w:val="20"/>
              </w:rPr>
              <w:t xml:space="preserve"> department attends the Year 9 transition EHC reviews. </w:t>
            </w:r>
            <w:r w:rsidRPr="00C16920">
              <w:rPr>
                <w:sz w:val="20"/>
                <w:szCs w:val="20"/>
              </w:rPr>
              <w:t>Parents are informed of the options available for the students and they have the oppo</w:t>
            </w:r>
            <w:r w:rsidR="004C3697" w:rsidRPr="00C16920">
              <w:rPr>
                <w:sz w:val="20"/>
                <w:szCs w:val="20"/>
              </w:rPr>
              <w:t xml:space="preserve">rtunity to choose 2 options of </w:t>
            </w:r>
            <w:r w:rsidRPr="00C16920">
              <w:rPr>
                <w:sz w:val="20"/>
                <w:szCs w:val="20"/>
              </w:rPr>
              <w:t xml:space="preserve">interest for vocational day. </w:t>
            </w:r>
            <w:r w:rsidR="00143CAE">
              <w:rPr>
                <w:sz w:val="20"/>
                <w:szCs w:val="20"/>
              </w:rPr>
              <w:t>The vocational and the 14-18</w:t>
            </w:r>
            <w:r w:rsidR="004C3697" w:rsidRPr="00C16920">
              <w:rPr>
                <w:sz w:val="20"/>
                <w:szCs w:val="20"/>
              </w:rPr>
              <w:t xml:space="preserve"> curriculum allows the development of skills related to work related learning and preparing for adulthood. </w:t>
            </w:r>
          </w:p>
          <w:p w:rsidR="008660B4" w:rsidRPr="00C16920" w:rsidRDefault="008660B4" w:rsidP="00342228">
            <w:pPr>
              <w:rPr>
                <w:sz w:val="20"/>
                <w:szCs w:val="20"/>
              </w:rPr>
            </w:pPr>
            <w:r w:rsidRPr="00C16920">
              <w:rPr>
                <w:sz w:val="20"/>
                <w:szCs w:val="20"/>
              </w:rPr>
              <w:t xml:space="preserve">Work experience takes place between Year 10 and Year 12 with both an internal and external placement where appropriate. </w:t>
            </w:r>
          </w:p>
          <w:p w:rsidR="008660B4" w:rsidRPr="00C16920" w:rsidRDefault="007425A2" w:rsidP="00342228">
            <w:pPr>
              <w:rPr>
                <w:sz w:val="20"/>
                <w:szCs w:val="20"/>
              </w:rPr>
            </w:pPr>
            <w:r w:rsidRPr="00C16920">
              <w:rPr>
                <w:sz w:val="20"/>
                <w:szCs w:val="20"/>
              </w:rPr>
              <w:t xml:space="preserve">Enterprise opportunities take place at points throughout the year and in Post 16 there is a weekly enterprise project connected to life skills. </w:t>
            </w:r>
          </w:p>
        </w:tc>
      </w:tr>
      <w:tr w:rsidR="006227F8" w:rsidTr="006227F8">
        <w:tc>
          <w:tcPr>
            <w:tcW w:w="4724" w:type="dxa"/>
          </w:tcPr>
          <w:p w:rsidR="006227F8" w:rsidRPr="002C559E" w:rsidRDefault="006227F8" w:rsidP="006227F8">
            <w:pPr>
              <w:pStyle w:val="Default"/>
              <w:rPr>
                <w:sz w:val="20"/>
                <w:szCs w:val="20"/>
              </w:rPr>
            </w:pPr>
          </w:p>
          <w:tbl>
            <w:tblPr>
              <w:tblW w:w="0" w:type="auto"/>
              <w:tblBorders>
                <w:top w:val="nil"/>
                <w:left w:val="nil"/>
                <w:bottom w:val="nil"/>
                <w:right w:val="nil"/>
              </w:tblBorders>
              <w:tblLook w:val="0000" w:firstRow="0" w:lastRow="0" w:firstColumn="0" w:lastColumn="0" w:noHBand="0" w:noVBand="0"/>
            </w:tblPr>
            <w:tblGrid>
              <w:gridCol w:w="4508"/>
            </w:tblGrid>
            <w:tr w:rsidR="006227F8" w:rsidRPr="002C559E">
              <w:trPr>
                <w:trHeight w:val="379"/>
              </w:trPr>
              <w:tc>
                <w:tcPr>
                  <w:tcW w:w="0" w:type="auto"/>
                </w:tcPr>
                <w:p w:rsidR="006227F8" w:rsidRPr="002C559E" w:rsidRDefault="006227F8">
                  <w:pPr>
                    <w:pStyle w:val="Default"/>
                    <w:rPr>
                      <w:sz w:val="20"/>
                      <w:szCs w:val="20"/>
                    </w:rPr>
                  </w:pPr>
                  <w:r w:rsidRPr="002C559E">
                    <w:rPr>
                      <w:sz w:val="20"/>
                      <w:szCs w:val="20"/>
                    </w:rPr>
                    <w:t xml:space="preserve"> </w:t>
                  </w:r>
                  <w:r w:rsidRPr="002C559E">
                    <w:rPr>
                      <w:b/>
                      <w:bCs/>
                      <w:sz w:val="20"/>
                      <w:szCs w:val="20"/>
                    </w:rPr>
                    <w:t xml:space="preserve">Learning From Career &amp; Labour Market Information </w:t>
                  </w:r>
                </w:p>
              </w:tc>
            </w:tr>
          </w:tbl>
          <w:p w:rsidR="006227F8" w:rsidRPr="002C559E" w:rsidRDefault="006227F8">
            <w:pPr>
              <w:rPr>
                <w:b/>
                <w:sz w:val="20"/>
                <w:szCs w:val="20"/>
              </w:rPr>
            </w:pPr>
          </w:p>
        </w:tc>
        <w:tc>
          <w:tcPr>
            <w:tcW w:w="4725" w:type="dxa"/>
          </w:tcPr>
          <w:p w:rsidR="006227F8" w:rsidRPr="002C559E" w:rsidRDefault="006227F8" w:rsidP="006227F8">
            <w:pPr>
              <w:pStyle w:val="Default"/>
              <w:rPr>
                <w:sz w:val="20"/>
                <w:szCs w:val="20"/>
              </w:rPr>
            </w:pPr>
          </w:p>
          <w:tbl>
            <w:tblPr>
              <w:tblW w:w="0" w:type="auto"/>
              <w:tblBorders>
                <w:top w:val="nil"/>
                <w:left w:val="nil"/>
                <w:bottom w:val="nil"/>
                <w:right w:val="nil"/>
              </w:tblBorders>
              <w:tblLook w:val="0000" w:firstRow="0" w:lastRow="0" w:firstColumn="0" w:lastColumn="0" w:noHBand="0" w:noVBand="0"/>
            </w:tblPr>
            <w:tblGrid>
              <w:gridCol w:w="4509"/>
            </w:tblGrid>
            <w:tr w:rsidR="006227F8" w:rsidRPr="002C559E">
              <w:trPr>
                <w:trHeight w:val="647"/>
              </w:trPr>
              <w:tc>
                <w:tcPr>
                  <w:tcW w:w="0" w:type="auto"/>
                </w:tcPr>
                <w:p w:rsidR="006227F8" w:rsidRPr="002C559E" w:rsidRDefault="006227F8">
                  <w:pPr>
                    <w:pStyle w:val="Default"/>
                    <w:rPr>
                      <w:sz w:val="20"/>
                      <w:szCs w:val="20"/>
                    </w:rPr>
                  </w:pPr>
                  <w:r w:rsidRPr="002C559E">
                    <w:rPr>
                      <w:sz w:val="20"/>
                      <w:szCs w:val="20"/>
                    </w:rPr>
                    <w:t xml:space="preserve"> Every pupil, and their parents, should have access to good quality information about future study options and labour market opportunities. They will need the support of an informed adviser to make best use of available information. </w:t>
                  </w:r>
                </w:p>
              </w:tc>
            </w:tr>
          </w:tbl>
          <w:p w:rsidR="006227F8" w:rsidRPr="002C559E" w:rsidRDefault="006227F8">
            <w:pPr>
              <w:rPr>
                <w:b/>
                <w:sz w:val="20"/>
                <w:szCs w:val="20"/>
              </w:rPr>
            </w:pPr>
          </w:p>
        </w:tc>
        <w:tc>
          <w:tcPr>
            <w:tcW w:w="4725" w:type="dxa"/>
          </w:tcPr>
          <w:p w:rsidR="0092441C" w:rsidRPr="0092441C" w:rsidRDefault="0092441C" w:rsidP="0092441C">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4509"/>
            </w:tblGrid>
            <w:tr w:rsidR="0092441C" w:rsidRPr="0092441C">
              <w:trPr>
                <w:trHeight w:val="781"/>
              </w:trPr>
              <w:tc>
                <w:tcPr>
                  <w:tcW w:w="0" w:type="auto"/>
                </w:tcPr>
                <w:p w:rsidR="0092441C" w:rsidRPr="002C559E" w:rsidRDefault="0092441C" w:rsidP="0092441C">
                  <w:pPr>
                    <w:autoSpaceDE w:val="0"/>
                    <w:autoSpaceDN w:val="0"/>
                    <w:adjustRightInd w:val="0"/>
                    <w:spacing w:after="0" w:line="240" w:lineRule="auto"/>
                    <w:rPr>
                      <w:rFonts w:ascii="Calibri" w:hAnsi="Calibri" w:cs="Calibri"/>
                      <w:color w:val="000000"/>
                      <w:sz w:val="20"/>
                      <w:szCs w:val="20"/>
                    </w:rPr>
                  </w:pPr>
                  <w:r w:rsidRPr="0092441C">
                    <w:rPr>
                      <w:rFonts w:ascii="Calibri" w:hAnsi="Calibri" w:cs="Calibri"/>
                      <w:color w:val="000000"/>
                      <w:sz w:val="20"/>
                      <w:szCs w:val="20"/>
                    </w:rPr>
                    <w:t xml:space="preserve"> Annual reviews </w:t>
                  </w:r>
                  <w:r w:rsidRPr="002C559E">
                    <w:rPr>
                      <w:rFonts w:ascii="Calibri" w:hAnsi="Calibri" w:cs="Calibri"/>
                      <w:color w:val="000000"/>
                      <w:sz w:val="20"/>
                      <w:szCs w:val="20"/>
                    </w:rPr>
                    <w:t>take</w:t>
                  </w:r>
                  <w:r w:rsidR="008917C3">
                    <w:rPr>
                      <w:rFonts w:ascii="Calibri" w:hAnsi="Calibri" w:cs="Calibri"/>
                      <w:color w:val="000000"/>
                      <w:sz w:val="20"/>
                      <w:szCs w:val="20"/>
                    </w:rPr>
                    <w:t xml:space="preserve"> place and all the professionals </w:t>
                  </w:r>
                  <w:r w:rsidRPr="002C559E">
                    <w:rPr>
                      <w:rFonts w:ascii="Calibri" w:hAnsi="Calibri" w:cs="Calibri"/>
                      <w:color w:val="000000"/>
                      <w:sz w:val="20"/>
                      <w:szCs w:val="20"/>
                    </w:rPr>
                    <w:t>working with the student</w:t>
                  </w:r>
                  <w:r w:rsidR="008917C3">
                    <w:rPr>
                      <w:rFonts w:ascii="Calibri" w:hAnsi="Calibri" w:cs="Calibri"/>
                      <w:color w:val="000000"/>
                      <w:sz w:val="20"/>
                      <w:szCs w:val="20"/>
                    </w:rPr>
                    <w:t>s</w:t>
                  </w:r>
                  <w:r w:rsidRPr="002C559E">
                    <w:rPr>
                      <w:rFonts w:ascii="Calibri" w:hAnsi="Calibri" w:cs="Calibri"/>
                      <w:color w:val="000000"/>
                      <w:sz w:val="20"/>
                      <w:szCs w:val="20"/>
                    </w:rPr>
                    <w:t xml:space="preserve"> are invited to attend. We apply for a transitions social worker if appropriate and work with the transitions team for health and social care to support the family. </w:t>
                  </w:r>
                </w:p>
                <w:p w:rsidR="0092441C" w:rsidRPr="0092441C" w:rsidRDefault="0092441C" w:rsidP="0092441C">
                  <w:pPr>
                    <w:autoSpaceDE w:val="0"/>
                    <w:autoSpaceDN w:val="0"/>
                    <w:adjustRightInd w:val="0"/>
                    <w:spacing w:after="0" w:line="240" w:lineRule="auto"/>
                    <w:rPr>
                      <w:rFonts w:ascii="Calibri" w:hAnsi="Calibri" w:cs="Calibri"/>
                      <w:color w:val="000000"/>
                      <w:sz w:val="20"/>
                      <w:szCs w:val="20"/>
                    </w:rPr>
                  </w:pPr>
                  <w:r w:rsidRPr="002C559E">
                    <w:rPr>
                      <w:rFonts w:ascii="Calibri" w:hAnsi="Calibri" w:cs="Calibri"/>
                      <w:color w:val="000000"/>
                      <w:sz w:val="20"/>
                      <w:szCs w:val="20"/>
                    </w:rPr>
                    <w:t>School</w:t>
                  </w:r>
                  <w:r w:rsidRPr="0092441C">
                    <w:rPr>
                      <w:rFonts w:ascii="Calibri" w:hAnsi="Calibri" w:cs="Calibri"/>
                      <w:color w:val="000000"/>
                      <w:sz w:val="20"/>
                      <w:szCs w:val="20"/>
                    </w:rPr>
                    <w:t xml:space="preserve"> works closely with parents and pupils </w:t>
                  </w:r>
                  <w:r w:rsidRPr="002C559E">
                    <w:rPr>
                      <w:rFonts w:ascii="Calibri" w:hAnsi="Calibri" w:cs="Calibri"/>
                      <w:color w:val="000000"/>
                      <w:sz w:val="20"/>
                      <w:szCs w:val="20"/>
                    </w:rPr>
                    <w:t xml:space="preserve">to </w:t>
                  </w:r>
                  <w:r w:rsidRPr="002C559E">
                    <w:rPr>
                      <w:rFonts w:ascii="Calibri" w:hAnsi="Calibri" w:cs="Calibri"/>
                      <w:color w:val="000000"/>
                      <w:sz w:val="20"/>
                      <w:szCs w:val="20"/>
                    </w:rPr>
                    <w:lastRenderedPageBreak/>
                    <w:t xml:space="preserve">provide </w:t>
                  </w:r>
                  <w:r w:rsidRPr="0092441C">
                    <w:rPr>
                      <w:rFonts w:ascii="Calibri" w:hAnsi="Calibri" w:cs="Calibri"/>
                      <w:color w:val="000000"/>
                      <w:sz w:val="20"/>
                      <w:szCs w:val="20"/>
                    </w:rPr>
                    <w:t xml:space="preserve">information on their future study </w:t>
                  </w:r>
                  <w:r w:rsidRPr="002C559E">
                    <w:rPr>
                      <w:rFonts w:ascii="Calibri" w:hAnsi="Calibri" w:cs="Calibri"/>
                      <w:color w:val="000000"/>
                      <w:sz w:val="20"/>
                      <w:szCs w:val="20"/>
                    </w:rPr>
                    <w:t>options and daily care needs. We advertise local provider events at other special schools and aim to provide one of our own in the future.</w:t>
                  </w:r>
                  <w:r w:rsidRPr="0092441C">
                    <w:rPr>
                      <w:rFonts w:ascii="Calibri" w:hAnsi="Calibri" w:cs="Calibri"/>
                      <w:color w:val="000000"/>
                      <w:sz w:val="20"/>
                      <w:szCs w:val="20"/>
                    </w:rPr>
                    <w:t xml:space="preserve"> The event</w:t>
                  </w:r>
                  <w:r w:rsidRPr="002C559E">
                    <w:rPr>
                      <w:rFonts w:ascii="Calibri" w:hAnsi="Calibri" w:cs="Calibri"/>
                      <w:color w:val="000000"/>
                      <w:sz w:val="20"/>
                      <w:szCs w:val="20"/>
                    </w:rPr>
                    <w:t>s are</w:t>
                  </w:r>
                  <w:r w:rsidRPr="0092441C">
                    <w:rPr>
                      <w:rFonts w:ascii="Calibri" w:hAnsi="Calibri" w:cs="Calibri"/>
                      <w:color w:val="000000"/>
                      <w:sz w:val="20"/>
                      <w:szCs w:val="20"/>
                    </w:rPr>
                    <w:t xml:space="preserve"> attended by colleges, employers who offer supported internships, day care providers and alternative providers. Parents </w:t>
                  </w:r>
                  <w:r w:rsidRPr="002C559E">
                    <w:rPr>
                      <w:rFonts w:ascii="Calibri" w:hAnsi="Calibri" w:cs="Calibri"/>
                      <w:color w:val="000000"/>
                      <w:sz w:val="20"/>
                      <w:szCs w:val="20"/>
                    </w:rPr>
                    <w:t>that have attended have foun</w:t>
                  </w:r>
                  <w:r w:rsidRPr="0092441C">
                    <w:rPr>
                      <w:rFonts w:ascii="Calibri" w:hAnsi="Calibri" w:cs="Calibri"/>
                      <w:color w:val="000000"/>
                      <w:sz w:val="20"/>
                      <w:szCs w:val="20"/>
                    </w:rPr>
                    <w:t xml:space="preserve">d the event extremely informative and useful. </w:t>
                  </w:r>
                </w:p>
              </w:tc>
            </w:tr>
          </w:tbl>
          <w:p w:rsidR="006227F8" w:rsidRPr="002C559E" w:rsidRDefault="006227F8">
            <w:pPr>
              <w:rPr>
                <w:b/>
                <w:sz w:val="20"/>
                <w:szCs w:val="20"/>
              </w:rPr>
            </w:pPr>
          </w:p>
        </w:tc>
      </w:tr>
      <w:tr w:rsidR="006227F8" w:rsidTr="006227F8">
        <w:tc>
          <w:tcPr>
            <w:tcW w:w="4724" w:type="dxa"/>
          </w:tcPr>
          <w:p w:rsidR="006227F8" w:rsidRPr="002A0034" w:rsidRDefault="006227F8" w:rsidP="006227F8">
            <w:pPr>
              <w:pStyle w:val="Default"/>
              <w:rPr>
                <w:sz w:val="20"/>
                <w:szCs w:val="20"/>
              </w:rPr>
            </w:pPr>
          </w:p>
          <w:tbl>
            <w:tblPr>
              <w:tblW w:w="0" w:type="auto"/>
              <w:tblBorders>
                <w:top w:val="nil"/>
                <w:left w:val="nil"/>
                <w:bottom w:val="nil"/>
                <w:right w:val="nil"/>
              </w:tblBorders>
              <w:tblLook w:val="0000" w:firstRow="0" w:lastRow="0" w:firstColumn="0" w:lastColumn="0" w:noHBand="0" w:noVBand="0"/>
            </w:tblPr>
            <w:tblGrid>
              <w:gridCol w:w="3211"/>
            </w:tblGrid>
            <w:tr w:rsidR="006227F8" w:rsidRPr="002A0034">
              <w:trPr>
                <w:trHeight w:val="244"/>
              </w:trPr>
              <w:tc>
                <w:tcPr>
                  <w:tcW w:w="0" w:type="auto"/>
                </w:tcPr>
                <w:p w:rsidR="006227F8" w:rsidRPr="002A0034" w:rsidRDefault="006227F8">
                  <w:pPr>
                    <w:pStyle w:val="Default"/>
                    <w:rPr>
                      <w:sz w:val="20"/>
                      <w:szCs w:val="20"/>
                    </w:rPr>
                  </w:pPr>
                  <w:r w:rsidRPr="002A0034">
                    <w:rPr>
                      <w:sz w:val="20"/>
                      <w:szCs w:val="20"/>
                    </w:rPr>
                    <w:t xml:space="preserve"> </w:t>
                  </w:r>
                  <w:r w:rsidRPr="002A0034">
                    <w:rPr>
                      <w:b/>
                      <w:bCs/>
                      <w:sz w:val="20"/>
                      <w:szCs w:val="20"/>
                    </w:rPr>
                    <w:t xml:space="preserve">Addressing The Needs of Each Pupil </w:t>
                  </w:r>
                </w:p>
              </w:tc>
            </w:tr>
          </w:tbl>
          <w:p w:rsidR="006227F8" w:rsidRPr="002A0034" w:rsidRDefault="006227F8">
            <w:pPr>
              <w:rPr>
                <w:b/>
                <w:sz w:val="20"/>
                <w:szCs w:val="20"/>
              </w:rPr>
            </w:pPr>
          </w:p>
        </w:tc>
        <w:tc>
          <w:tcPr>
            <w:tcW w:w="4725" w:type="dxa"/>
          </w:tcPr>
          <w:p w:rsidR="006227F8" w:rsidRPr="002A0034" w:rsidRDefault="006227F8" w:rsidP="006227F8">
            <w:pPr>
              <w:pStyle w:val="Default"/>
              <w:rPr>
                <w:sz w:val="20"/>
                <w:szCs w:val="20"/>
              </w:rPr>
            </w:pPr>
          </w:p>
          <w:tbl>
            <w:tblPr>
              <w:tblW w:w="0" w:type="auto"/>
              <w:tblBorders>
                <w:top w:val="nil"/>
                <w:left w:val="nil"/>
                <w:bottom w:val="nil"/>
                <w:right w:val="nil"/>
              </w:tblBorders>
              <w:tblLook w:val="0000" w:firstRow="0" w:lastRow="0" w:firstColumn="0" w:lastColumn="0" w:noHBand="0" w:noVBand="0"/>
            </w:tblPr>
            <w:tblGrid>
              <w:gridCol w:w="4509"/>
            </w:tblGrid>
            <w:tr w:rsidR="006227F8" w:rsidRPr="002A0034">
              <w:trPr>
                <w:trHeight w:val="647"/>
              </w:trPr>
              <w:tc>
                <w:tcPr>
                  <w:tcW w:w="0" w:type="auto"/>
                </w:tcPr>
                <w:p w:rsidR="006227F8" w:rsidRPr="002A0034" w:rsidRDefault="006227F8">
                  <w:pPr>
                    <w:pStyle w:val="Default"/>
                    <w:rPr>
                      <w:sz w:val="20"/>
                      <w:szCs w:val="20"/>
                    </w:rPr>
                  </w:pPr>
                  <w:r w:rsidRPr="002A0034">
                    <w:rPr>
                      <w:sz w:val="20"/>
                      <w:szCs w:val="20"/>
                    </w:rPr>
                    <w:t xml:space="preserve"> Pupils have different career guidance needs at different stages. Opportunities for advice and support need to be tailored to the needs of each pupil. A school’s careers programme should embed equality and diversity considerations throughout. </w:t>
                  </w:r>
                </w:p>
              </w:tc>
            </w:tr>
          </w:tbl>
          <w:p w:rsidR="006227F8" w:rsidRPr="002A0034" w:rsidRDefault="006227F8">
            <w:pPr>
              <w:rPr>
                <w:b/>
                <w:sz w:val="20"/>
                <w:szCs w:val="20"/>
              </w:rPr>
            </w:pPr>
          </w:p>
        </w:tc>
        <w:tc>
          <w:tcPr>
            <w:tcW w:w="4725" w:type="dxa"/>
          </w:tcPr>
          <w:p w:rsidR="002A0034" w:rsidRPr="002A0034" w:rsidRDefault="002A0034" w:rsidP="002A0034">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4509"/>
            </w:tblGrid>
            <w:tr w:rsidR="002A0034" w:rsidRPr="002A0034">
              <w:trPr>
                <w:trHeight w:val="513"/>
              </w:trPr>
              <w:tc>
                <w:tcPr>
                  <w:tcW w:w="0" w:type="auto"/>
                </w:tcPr>
                <w:p w:rsidR="002A0034" w:rsidRPr="002A0034" w:rsidRDefault="002A0034" w:rsidP="002A0034">
                  <w:pPr>
                    <w:autoSpaceDE w:val="0"/>
                    <w:autoSpaceDN w:val="0"/>
                    <w:adjustRightInd w:val="0"/>
                    <w:spacing w:after="0" w:line="240" w:lineRule="auto"/>
                    <w:rPr>
                      <w:rFonts w:ascii="Calibri" w:hAnsi="Calibri" w:cs="Calibri"/>
                      <w:color w:val="000000"/>
                      <w:sz w:val="20"/>
                      <w:szCs w:val="20"/>
                    </w:rPr>
                  </w:pPr>
                  <w:r w:rsidRPr="002A0034">
                    <w:rPr>
                      <w:rFonts w:ascii="Calibri" w:hAnsi="Calibri" w:cs="Calibri"/>
                      <w:color w:val="000000"/>
                      <w:sz w:val="20"/>
                      <w:szCs w:val="20"/>
                    </w:rPr>
                    <w:t xml:space="preserve"> Social workers also become involved 6 months before a student turns 18 if appropriate to give parents information on benefits, entitlements and getting the right support for their students. </w:t>
                  </w:r>
                </w:p>
                <w:p w:rsidR="002A0034" w:rsidRPr="002A0034" w:rsidRDefault="002A0034" w:rsidP="002A0034">
                  <w:pPr>
                    <w:autoSpaceDE w:val="0"/>
                    <w:autoSpaceDN w:val="0"/>
                    <w:adjustRightInd w:val="0"/>
                    <w:spacing w:after="0" w:line="240" w:lineRule="auto"/>
                    <w:rPr>
                      <w:rFonts w:ascii="Calibri" w:hAnsi="Calibri" w:cs="Calibri"/>
                      <w:color w:val="000000"/>
                      <w:sz w:val="20"/>
                      <w:szCs w:val="20"/>
                    </w:rPr>
                  </w:pPr>
                  <w:r w:rsidRPr="002A0034">
                    <w:rPr>
                      <w:rFonts w:ascii="Calibri" w:hAnsi="Calibri" w:cs="Calibri"/>
                      <w:color w:val="000000"/>
                      <w:sz w:val="20"/>
                      <w:szCs w:val="20"/>
                    </w:rPr>
                    <w:t xml:space="preserve">All pupils take part in vocational skills activities as appropriate to their learning level – this may mean experiencing work based activities or attending work placements. </w:t>
                  </w:r>
                </w:p>
                <w:p w:rsidR="002A0034" w:rsidRDefault="002A0034" w:rsidP="002A0034">
                  <w:pPr>
                    <w:rPr>
                      <w:sz w:val="20"/>
                      <w:szCs w:val="20"/>
                    </w:rPr>
                  </w:pPr>
                  <w:r w:rsidRPr="002A0034">
                    <w:rPr>
                      <w:sz w:val="20"/>
                      <w:szCs w:val="20"/>
                    </w:rPr>
                    <w:t xml:space="preserve">Work experience takes place between Year 10 and Year 12 with both an internal and external placement where appropriate. </w:t>
                  </w:r>
                </w:p>
                <w:p w:rsidR="002A0034" w:rsidRPr="002A0034" w:rsidRDefault="002A0034" w:rsidP="002A0034">
                  <w:pPr>
                    <w:rPr>
                      <w:sz w:val="20"/>
                      <w:szCs w:val="20"/>
                    </w:rPr>
                  </w:pPr>
                  <w:r>
                    <w:rPr>
                      <w:sz w:val="20"/>
                      <w:szCs w:val="20"/>
                    </w:rPr>
                    <w:t xml:space="preserve">Students from Year 7 are also involved in Independent travel training at amber and green levels in order to develop independence. The idea is that they will eventually build on skills to be able to attend work experience placements independently. </w:t>
                  </w:r>
                </w:p>
                <w:p w:rsidR="002A0034" w:rsidRPr="002A0034" w:rsidRDefault="002A0034" w:rsidP="002A0034">
                  <w:pPr>
                    <w:autoSpaceDE w:val="0"/>
                    <w:autoSpaceDN w:val="0"/>
                    <w:adjustRightInd w:val="0"/>
                    <w:spacing w:after="0" w:line="240" w:lineRule="auto"/>
                    <w:rPr>
                      <w:rFonts w:ascii="Calibri" w:hAnsi="Calibri" w:cs="Calibri"/>
                      <w:color w:val="000000"/>
                      <w:sz w:val="20"/>
                      <w:szCs w:val="20"/>
                    </w:rPr>
                  </w:pPr>
                </w:p>
              </w:tc>
            </w:tr>
          </w:tbl>
          <w:p w:rsidR="006227F8" w:rsidRPr="002A0034" w:rsidRDefault="006227F8">
            <w:pPr>
              <w:rPr>
                <w:b/>
                <w:sz w:val="20"/>
                <w:szCs w:val="20"/>
              </w:rPr>
            </w:pPr>
          </w:p>
        </w:tc>
      </w:tr>
      <w:tr w:rsidR="006227F8" w:rsidTr="006227F8">
        <w:tc>
          <w:tcPr>
            <w:tcW w:w="4724" w:type="dxa"/>
          </w:tcPr>
          <w:p w:rsidR="006227F8" w:rsidRPr="0088339F" w:rsidRDefault="006227F8" w:rsidP="006227F8">
            <w:pPr>
              <w:pStyle w:val="Default"/>
              <w:rPr>
                <w:sz w:val="20"/>
                <w:szCs w:val="20"/>
              </w:rPr>
            </w:pPr>
          </w:p>
          <w:tbl>
            <w:tblPr>
              <w:tblW w:w="0" w:type="auto"/>
              <w:tblBorders>
                <w:top w:val="nil"/>
                <w:left w:val="nil"/>
                <w:bottom w:val="nil"/>
                <w:right w:val="nil"/>
              </w:tblBorders>
              <w:tblLook w:val="0000" w:firstRow="0" w:lastRow="0" w:firstColumn="0" w:lastColumn="0" w:noHBand="0" w:noVBand="0"/>
            </w:tblPr>
            <w:tblGrid>
              <w:gridCol w:w="3464"/>
            </w:tblGrid>
            <w:tr w:rsidR="006227F8" w:rsidRPr="0088339F">
              <w:trPr>
                <w:trHeight w:val="244"/>
              </w:trPr>
              <w:tc>
                <w:tcPr>
                  <w:tcW w:w="0" w:type="auto"/>
                </w:tcPr>
                <w:p w:rsidR="006227F8" w:rsidRPr="0088339F" w:rsidRDefault="006227F8">
                  <w:pPr>
                    <w:pStyle w:val="Default"/>
                    <w:rPr>
                      <w:sz w:val="20"/>
                      <w:szCs w:val="20"/>
                    </w:rPr>
                  </w:pPr>
                  <w:r w:rsidRPr="0088339F">
                    <w:rPr>
                      <w:sz w:val="20"/>
                      <w:szCs w:val="20"/>
                    </w:rPr>
                    <w:t xml:space="preserve"> </w:t>
                  </w:r>
                  <w:r w:rsidRPr="0088339F">
                    <w:rPr>
                      <w:b/>
                      <w:bCs/>
                      <w:sz w:val="20"/>
                      <w:szCs w:val="20"/>
                    </w:rPr>
                    <w:t xml:space="preserve">Linking Curriculum Learning to Careers </w:t>
                  </w:r>
                </w:p>
              </w:tc>
            </w:tr>
          </w:tbl>
          <w:p w:rsidR="006227F8" w:rsidRPr="0088339F" w:rsidRDefault="006227F8">
            <w:pPr>
              <w:rPr>
                <w:b/>
                <w:sz w:val="20"/>
                <w:szCs w:val="20"/>
              </w:rPr>
            </w:pPr>
          </w:p>
        </w:tc>
        <w:tc>
          <w:tcPr>
            <w:tcW w:w="4725" w:type="dxa"/>
          </w:tcPr>
          <w:p w:rsidR="006227F8" w:rsidRPr="0088339F" w:rsidRDefault="006227F8" w:rsidP="006227F8">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4509"/>
            </w:tblGrid>
            <w:tr w:rsidR="006227F8" w:rsidRPr="0088339F">
              <w:trPr>
                <w:trHeight w:val="513"/>
              </w:trPr>
              <w:tc>
                <w:tcPr>
                  <w:tcW w:w="0" w:type="auto"/>
                </w:tcPr>
                <w:p w:rsidR="006227F8" w:rsidRPr="0088339F" w:rsidRDefault="006227F8" w:rsidP="006227F8">
                  <w:pPr>
                    <w:autoSpaceDE w:val="0"/>
                    <w:autoSpaceDN w:val="0"/>
                    <w:adjustRightInd w:val="0"/>
                    <w:spacing w:after="0" w:line="240" w:lineRule="auto"/>
                    <w:rPr>
                      <w:rFonts w:ascii="Calibri" w:hAnsi="Calibri" w:cs="Calibri"/>
                      <w:color w:val="000000"/>
                      <w:sz w:val="20"/>
                      <w:szCs w:val="20"/>
                    </w:rPr>
                  </w:pPr>
                  <w:r w:rsidRPr="0088339F">
                    <w:rPr>
                      <w:rFonts w:ascii="Calibri" w:hAnsi="Calibri" w:cs="Calibri"/>
                      <w:color w:val="000000"/>
                      <w:sz w:val="20"/>
                      <w:szCs w:val="20"/>
                    </w:rPr>
                    <w:t xml:space="preserve"> All teachers should link curriculum learning with careers. STEM subject teachers should highlight the relevance of stem subjects for a wide range of future career paths. </w:t>
                  </w:r>
                </w:p>
                <w:p w:rsidR="00D034DD" w:rsidRPr="0088339F" w:rsidRDefault="00D034DD" w:rsidP="006227F8">
                  <w:pPr>
                    <w:autoSpaceDE w:val="0"/>
                    <w:autoSpaceDN w:val="0"/>
                    <w:adjustRightInd w:val="0"/>
                    <w:spacing w:after="0" w:line="240" w:lineRule="auto"/>
                    <w:rPr>
                      <w:rFonts w:ascii="Calibri" w:hAnsi="Calibri" w:cs="Calibri"/>
                      <w:color w:val="000000"/>
                      <w:sz w:val="20"/>
                      <w:szCs w:val="20"/>
                    </w:rPr>
                  </w:pPr>
                </w:p>
                <w:p w:rsidR="00D034DD" w:rsidRPr="0088339F" w:rsidRDefault="00D034DD" w:rsidP="006227F8">
                  <w:pPr>
                    <w:autoSpaceDE w:val="0"/>
                    <w:autoSpaceDN w:val="0"/>
                    <w:adjustRightInd w:val="0"/>
                    <w:spacing w:after="0" w:line="240" w:lineRule="auto"/>
                    <w:rPr>
                      <w:rFonts w:ascii="Calibri" w:hAnsi="Calibri" w:cs="Calibri"/>
                      <w:color w:val="000000"/>
                      <w:sz w:val="20"/>
                      <w:szCs w:val="20"/>
                    </w:rPr>
                  </w:pPr>
                </w:p>
              </w:tc>
            </w:tr>
          </w:tbl>
          <w:p w:rsidR="006227F8" w:rsidRPr="0088339F" w:rsidRDefault="006227F8">
            <w:pPr>
              <w:rPr>
                <w:b/>
                <w:sz w:val="20"/>
                <w:szCs w:val="20"/>
              </w:rPr>
            </w:pPr>
          </w:p>
        </w:tc>
        <w:tc>
          <w:tcPr>
            <w:tcW w:w="4725" w:type="dxa"/>
          </w:tcPr>
          <w:p w:rsidR="00B06B16" w:rsidRPr="00B06B16" w:rsidRDefault="00B06B16" w:rsidP="00B06B16">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4509"/>
            </w:tblGrid>
            <w:tr w:rsidR="00B06B16" w:rsidRPr="00B06B16">
              <w:trPr>
                <w:trHeight w:val="513"/>
              </w:trPr>
              <w:tc>
                <w:tcPr>
                  <w:tcW w:w="0" w:type="auto"/>
                </w:tcPr>
                <w:p w:rsidR="00B06B16" w:rsidRPr="00B06B16" w:rsidRDefault="00B06B16" w:rsidP="00B06B16">
                  <w:pPr>
                    <w:autoSpaceDE w:val="0"/>
                    <w:autoSpaceDN w:val="0"/>
                    <w:adjustRightInd w:val="0"/>
                    <w:spacing w:after="0" w:line="240" w:lineRule="auto"/>
                    <w:rPr>
                      <w:rFonts w:ascii="Calibri" w:hAnsi="Calibri" w:cs="Calibri"/>
                      <w:color w:val="000000"/>
                      <w:sz w:val="20"/>
                      <w:szCs w:val="20"/>
                    </w:rPr>
                  </w:pPr>
                  <w:r w:rsidRPr="0088339F">
                    <w:rPr>
                      <w:rFonts w:ascii="Calibri" w:hAnsi="Calibri" w:cs="Calibri"/>
                      <w:color w:val="000000"/>
                      <w:sz w:val="20"/>
                      <w:szCs w:val="20"/>
                    </w:rPr>
                    <w:t xml:space="preserve"> English and maths accreditation and Vocational skills are</w:t>
                  </w:r>
                  <w:r w:rsidRPr="00B06B16">
                    <w:rPr>
                      <w:rFonts w:ascii="Calibri" w:hAnsi="Calibri" w:cs="Calibri"/>
                      <w:color w:val="000000"/>
                      <w:sz w:val="20"/>
                      <w:szCs w:val="20"/>
                    </w:rPr>
                    <w:t xml:space="preserve"> taught alongside life skills so that pupils are prepared for adulthood and living as independently as possible. </w:t>
                  </w:r>
                  <w:r w:rsidR="0088339F" w:rsidRPr="0088339F">
                    <w:rPr>
                      <w:rFonts w:ascii="Calibri" w:hAnsi="Calibri" w:cs="Calibri"/>
                      <w:color w:val="000000"/>
                      <w:sz w:val="20"/>
                      <w:szCs w:val="20"/>
                    </w:rPr>
                    <w:t>In addition to this is the Independent Travel training.</w:t>
                  </w:r>
                </w:p>
              </w:tc>
            </w:tr>
          </w:tbl>
          <w:p w:rsidR="00D034DD" w:rsidRPr="0088339F" w:rsidRDefault="00D034DD">
            <w:pPr>
              <w:rPr>
                <w:b/>
                <w:sz w:val="20"/>
                <w:szCs w:val="20"/>
              </w:rPr>
            </w:pPr>
          </w:p>
        </w:tc>
      </w:tr>
      <w:tr w:rsidR="006227F8" w:rsidTr="006227F8">
        <w:tc>
          <w:tcPr>
            <w:tcW w:w="4724" w:type="dxa"/>
          </w:tcPr>
          <w:p w:rsidR="006227F8" w:rsidRPr="009B04D8" w:rsidRDefault="006227F8" w:rsidP="006227F8">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3888"/>
            </w:tblGrid>
            <w:tr w:rsidR="006227F8" w:rsidRPr="009B04D8">
              <w:trPr>
                <w:trHeight w:val="379"/>
              </w:trPr>
              <w:tc>
                <w:tcPr>
                  <w:tcW w:w="0" w:type="auto"/>
                </w:tcPr>
                <w:p w:rsidR="006227F8" w:rsidRPr="009B04D8" w:rsidRDefault="006227F8" w:rsidP="006227F8">
                  <w:pPr>
                    <w:autoSpaceDE w:val="0"/>
                    <w:autoSpaceDN w:val="0"/>
                    <w:adjustRightInd w:val="0"/>
                    <w:spacing w:after="0" w:line="240" w:lineRule="auto"/>
                    <w:rPr>
                      <w:rFonts w:ascii="Calibri" w:hAnsi="Calibri" w:cs="Calibri"/>
                      <w:color w:val="000000"/>
                      <w:sz w:val="20"/>
                      <w:szCs w:val="20"/>
                    </w:rPr>
                  </w:pPr>
                  <w:r w:rsidRPr="009B04D8">
                    <w:rPr>
                      <w:rFonts w:ascii="Calibri" w:hAnsi="Calibri" w:cs="Calibri"/>
                      <w:color w:val="000000"/>
                      <w:sz w:val="20"/>
                      <w:szCs w:val="20"/>
                    </w:rPr>
                    <w:t xml:space="preserve"> </w:t>
                  </w:r>
                  <w:r w:rsidRPr="009B04D8">
                    <w:rPr>
                      <w:rFonts w:ascii="Calibri" w:hAnsi="Calibri" w:cs="Calibri"/>
                      <w:b/>
                      <w:bCs/>
                      <w:color w:val="000000"/>
                      <w:sz w:val="20"/>
                      <w:szCs w:val="20"/>
                    </w:rPr>
                    <w:t xml:space="preserve">Encounters With Employers And Employees </w:t>
                  </w:r>
                </w:p>
              </w:tc>
            </w:tr>
          </w:tbl>
          <w:p w:rsidR="006227F8" w:rsidRPr="009B04D8" w:rsidRDefault="006227F8">
            <w:pPr>
              <w:rPr>
                <w:b/>
                <w:sz w:val="20"/>
                <w:szCs w:val="20"/>
              </w:rPr>
            </w:pPr>
          </w:p>
        </w:tc>
        <w:tc>
          <w:tcPr>
            <w:tcW w:w="4725" w:type="dxa"/>
          </w:tcPr>
          <w:p w:rsidR="00D034DD" w:rsidRPr="009B04D8" w:rsidRDefault="00D034DD" w:rsidP="00D034DD">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4509"/>
            </w:tblGrid>
            <w:tr w:rsidR="00D034DD" w:rsidRPr="009B04D8">
              <w:trPr>
                <w:trHeight w:val="646"/>
              </w:trPr>
              <w:tc>
                <w:tcPr>
                  <w:tcW w:w="0" w:type="auto"/>
                </w:tcPr>
                <w:p w:rsidR="00D034DD" w:rsidRPr="009B04D8" w:rsidRDefault="00D034DD" w:rsidP="00D034DD">
                  <w:pPr>
                    <w:autoSpaceDE w:val="0"/>
                    <w:autoSpaceDN w:val="0"/>
                    <w:adjustRightInd w:val="0"/>
                    <w:spacing w:after="0" w:line="240" w:lineRule="auto"/>
                    <w:rPr>
                      <w:rFonts w:ascii="Calibri" w:hAnsi="Calibri" w:cs="Calibri"/>
                      <w:color w:val="000000"/>
                      <w:sz w:val="20"/>
                      <w:szCs w:val="20"/>
                    </w:rPr>
                  </w:pPr>
                  <w:r w:rsidRPr="009B04D8">
                    <w:rPr>
                      <w:rFonts w:ascii="Calibri" w:hAnsi="Calibri" w:cs="Calibri"/>
                      <w:color w:val="000000"/>
                      <w:sz w:val="20"/>
                      <w:szCs w:val="20"/>
                    </w:rPr>
                    <w:t xml:space="preserve"> Every pupil should have multiple opportunities to learn from employers about work, employment and the skills that are valued in the workplace. This can be through a range of enrichment activities including visiting speakers, mentoring and enterprise schemes. </w:t>
                  </w:r>
                </w:p>
              </w:tc>
            </w:tr>
          </w:tbl>
          <w:p w:rsidR="006227F8" w:rsidRPr="009B04D8" w:rsidRDefault="006227F8">
            <w:pPr>
              <w:rPr>
                <w:b/>
                <w:sz w:val="20"/>
                <w:szCs w:val="20"/>
              </w:rPr>
            </w:pPr>
          </w:p>
        </w:tc>
        <w:tc>
          <w:tcPr>
            <w:tcW w:w="4725" w:type="dxa"/>
          </w:tcPr>
          <w:p w:rsidR="00482996" w:rsidRPr="00850781" w:rsidRDefault="00482996" w:rsidP="00482996">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4509"/>
            </w:tblGrid>
            <w:tr w:rsidR="00482996" w:rsidRPr="00850781">
              <w:trPr>
                <w:trHeight w:val="379"/>
              </w:trPr>
              <w:tc>
                <w:tcPr>
                  <w:tcW w:w="0" w:type="auto"/>
                </w:tcPr>
                <w:p w:rsidR="00482996" w:rsidRPr="00850781" w:rsidRDefault="00482996" w:rsidP="00482996">
                  <w:pPr>
                    <w:autoSpaceDE w:val="0"/>
                    <w:autoSpaceDN w:val="0"/>
                    <w:adjustRightInd w:val="0"/>
                    <w:spacing w:after="0" w:line="240" w:lineRule="auto"/>
                    <w:rPr>
                      <w:rFonts w:ascii="Calibri" w:hAnsi="Calibri" w:cs="Calibri"/>
                      <w:color w:val="000000"/>
                      <w:sz w:val="20"/>
                      <w:szCs w:val="20"/>
                    </w:rPr>
                  </w:pPr>
                  <w:r w:rsidRPr="00850781">
                    <w:rPr>
                      <w:rFonts w:ascii="Calibri" w:hAnsi="Calibri" w:cs="Calibri"/>
                      <w:color w:val="000000"/>
                      <w:sz w:val="20"/>
                      <w:szCs w:val="20"/>
                    </w:rPr>
                    <w:t xml:space="preserve"> Students have access to work experience placements where they have contact with employers and employees. </w:t>
                  </w:r>
                </w:p>
                <w:p w:rsidR="00482996" w:rsidRPr="00850781" w:rsidRDefault="00482996" w:rsidP="00482996">
                  <w:pPr>
                    <w:autoSpaceDE w:val="0"/>
                    <w:autoSpaceDN w:val="0"/>
                    <w:adjustRightInd w:val="0"/>
                    <w:spacing w:after="0" w:line="240" w:lineRule="auto"/>
                    <w:rPr>
                      <w:rFonts w:ascii="Calibri" w:hAnsi="Calibri" w:cs="Calibri"/>
                      <w:color w:val="000000"/>
                      <w:sz w:val="20"/>
                      <w:szCs w:val="20"/>
                    </w:rPr>
                  </w:pPr>
                  <w:r w:rsidRPr="00850781">
                    <w:rPr>
                      <w:rFonts w:ascii="Calibri" w:hAnsi="Calibri" w:cs="Calibri"/>
                      <w:color w:val="000000"/>
                      <w:sz w:val="20"/>
                      <w:szCs w:val="20"/>
                    </w:rPr>
                    <w:t xml:space="preserve">We are looking at encouraging more employers and employees into school. This is a target area. </w:t>
                  </w:r>
                </w:p>
              </w:tc>
            </w:tr>
          </w:tbl>
          <w:p w:rsidR="006227F8" w:rsidRPr="00850781" w:rsidRDefault="006227F8">
            <w:pPr>
              <w:rPr>
                <w:b/>
                <w:sz w:val="20"/>
                <w:szCs w:val="20"/>
              </w:rPr>
            </w:pPr>
          </w:p>
        </w:tc>
      </w:tr>
      <w:tr w:rsidR="006227F8" w:rsidTr="006227F8">
        <w:tc>
          <w:tcPr>
            <w:tcW w:w="4724" w:type="dxa"/>
          </w:tcPr>
          <w:p w:rsidR="00D034DD" w:rsidRPr="009B04D8" w:rsidRDefault="00D034DD" w:rsidP="00D034DD">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2516"/>
            </w:tblGrid>
            <w:tr w:rsidR="00D034DD" w:rsidRPr="009B04D8">
              <w:trPr>
                <w:trHeight w:val="244"/>
              </w:trPr>
              <w:tc>
                <w:tcPr>
                  <w:tcW w:w="0" w:type="auto"/>
                </w:tcPr>
                <w:p w:rsidR="00D034DD" w:rsidRPr="009B04D8" w:rsidRDefault="00D034DD" w:rsidP="00D034DD">
                  <w:pPr>
                    <w:autoSpaceDE w:val="0"/>
                    <w:autoSpaceDN w:val="0"/>
                    <w:adjustRightInd w:val="0"/>
                    <w:spacing w:after="0" w:line="240" w:lineRule="auto"/>
                    <w:rPr>
                      <w:rFonts w:ascii="Calibri" w:hAnsi="Calibri" w:cs="Calibri"/>
                      <w:color w:val="000000"/>
                      <w:sz w:val="20"/>
                      <w:szCs w:val="20"/>
                    </w:rPr>
                  </w:pPr>
                  <w:r w:rsidRPr="009B04D8">
                    <w:rPr>
                      <w:rFonts w:ascii="Calibri" w:hAnsi="Calibri" w:cs="Calibri"/>
                      <w:color w:val="000000"/>
                      <w:sz w:val="20"/>
                      <w:szCs w:val="20"/>
                    </w:rPr>
                    <w:t xml:space="preserve"> </w:t>
                  </w:r>
                  <w:r w:rsidRPr="009B04D8">
                    <w:rPr>
                      <w:rFonts w:ascii="Calibri" w:hAnsi="Calibri" w:cs="Calibri"/>
                      <w:b/>
                      <w:bCs/>
                      <w:color w:val="000000"/>
                      <w:sz w:val="20"/>
                      <w:szCs w:val="20"/>
                    </w:rPr>
                    <w:t xml:space="preserve">Experiences Of Workplaces </w:t>
                  </w:r>
                </w:p>
              </w:tc>
            </w:tr>
          </w:tbl>
          <w:p w:rsidR="006227F8" w:rsidRPr="009B04D8" w:rsidRDefault="006227F8">
            <w:pPr>
              <w:rPr>
                <w:b/>
                <w:sz w:val="20"/>
                <w:szCs w:val="20"/>
              </w:rPr>
            </w:pPr>
          </w:p>
        </w:tc>
        <w:tc>
          <w:tcPr>
            <w:tcW w:w="4725" w:type="dxa"/>
          </w:tcPr>
          <w:p w:rsidR="00D034DD" w:rsidRPr="009B04D8" w:rsidRDefault="00D034DD" w:rsidP="00D034DD">
            <w:pPr>
              <w:autoSpaceDE w:val="0"/>
              <w:autoSpaceDN w:val="0"/>
              <w:adjustRightInd w:val="0"/>
              <w:rPr>
                <w:rFonts w:ascii="Calibri" w:hAnsi="Calibri" w:cs="Calibr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4509"/>
            </w:tblGrid>
            <w:tr w:rsidR="00D034DD" w:rsidRPr="009B04D8">
              <w:trPr>
                <w:trHeight w:val="513"/>
              </w:trPr>
              <w:tc>
                <w:tcPr>
                  <w:tcW w:w="0" w:type="auto"/>
                </w:tcPr>
                <w:p w:rsidR="00D034DD" w:rsidRPr="009B04D8" w:rsidRDefault="00D034DD" w:rsidP="00D034DD">
                  <w:pPr>
                    <w:autoSpaceDE w:val="0"/>
                    <w:autoSpaceDN w:val="0"/>
                    <w:adjustRightInd w:val="0"/>
                    <w:spacing w:after="0" w:line="240" w:lineRule="auto"/>
                    <w:rPr>
                      <w:rFonts w:ascii="Calibri" w:hAnsi="Calibri" w:cs="Calibri"/>
                      <w:color w:val="000000"/>
                      <w:sz w:val="20"/>
                      <w:szCs w:val="20"/>
                    </w:rPr>
                  </w:pPr>
                  <w:r w:rsidRPr="009B04D8">
                    <w:rPr>
                      <w:rFonts w:ascii="Calibri" w:hAnsi="Calibri" w:cs="Calibri"/>
                      <w:color w:val="000000"/>
                      <w:sz w:val="20"/>
                      <w:szCs w:val="20"/>
                    </w:rPr>
                    <w:t xml:space="preserve"> Every pupil should have first-hand experiences of the workplace through work visits, work shadowing and/or work experience to help their exploration of career opportunities, and expand their networks. </w:t>
                  </w:r>
                </w:p>
              </w:tc>
            </w:tr>
          </w:tbl>
          <w:p w:rsidR="006227F8" w:rsidRPr="009B04D8" w:rsidRDefault="006227F8">
            <w:pPr>
              <w:rPr>
                <w:b/>
                <w:sz w:val="20"/>
                <w:szCs w:val="20"/>
              </w:rPr>
            </w:pPr>
          </w:p>
        </w:tc>
        <w:tc>
          <w:tcPr>
            <w:tcW w:w="4725" w:type="dxa"/>
          </w:tcPr>
          <w:p w:rsidR="00482996" w:rsidRPr="00850781" w:rsidRDefault="00482996" w:rsidP="00482996">
            <w:pPr>
              <w:autoSpaceDE w:val="0"/>
              <w:autoSpaceDN w:val="0"/>
              <w:adjustRightInd w:val="0"/>
              <w:rPr>
                <w:rFonts w:ascii="Calibri" w:hAnsi="Calibri" w:cs="Calibri"/>
                <w:color w:val="000000"/>
                <w:sz w:val="20"/>
                <w:szCs w:val="20"/>
              </w:rPr>
            </w:pPr>
            <w:r w:rsidRPr="00850781">
              <w:rPr>
                <w:rFonts w:ascii="Calibri" w:hAnsi="Calibri" w:cs="Calibri"/>
                <w:color w:val="000000"/>
                <w:sz w:val="20"/>
                <w:szCs w:val="20"/>
              </w:rPr>
              <w:t xml:space="preserve">Students have access to work experience placements both internally and externally. Placements internally are with the caretaker, kitchen staff and office staff. External placements are matched to the </w:t>
            </w:r>
            <w:r w:rsidR="00143CAE" w:rsidRPr="00850781">
              <w:rPr>
                <w:rFonts w:ascii="Calibri" w:hAnsi="Calibri" w:cs="Calibri"/>
                <w:color w:val="000000"/>
                <w:sz w:val="20"/>
                <w:szCs w:val="20"/>
              </w:rPr>
              <w:t>student’s</w:t>
            </w:r>
            <w:r w:rsidRPr="00850781">
              <w:rPr>
                <w:rFonts w:ascii="Calibri" w:hAnsi="Calibri" w:cs="Calibri"/>
                <w:color w:val="000000"/>
                <w:sz w:val="20"/>
                <w:szCs w:val="20"/>
              </w:rPr>
              <w:t xml:space="preserve"> interests as much as possible. Students have accessed the local supermarkets, completed conservation work with the local council, worked in the library and coffee shops for example. </w:t>
            </w:r>
          </w:p>
          <w:tbl>
            <w:tblPr>
              <w:tblW w:w="0" w:type="auto"/>
              <w:tblBorders>
                <w:top w:val="nil"/>
                <w:left w:val="nil"/>
                <w:bottom w:val="nil"/>
                <w:right w:val="nil"/>
              </w:tblBorders>
              <w:tblLook w:val="0000" w:firstRow="0" w:lastRow="0" w:firstColumn="0" w:lastColumn="0" w:noHBand="0" w:noVBand="0"/>
            </w:tblPr>
            <w:tblGrid>
              <w:gridCol w:w="4509"/>
            </w:tblGrid>
            <w:tr w:rsidR="00482996" w:rsidRPr="00850781">
              <w:trPr>
                <w:trHeight w:val="379"/>
              </w:trPr>
              <w:tc>
                <w:tcPr>
                  <w:tcW w:w="0" w:type="auto"/>
                </w:tcPr>
                <w:p w:rsidR="00482996" w:rsidRPr="00850781" w:rsidRDefault="00482996" w:rsidP="00482996">
                  <w:pPr>
                    <w:autoSpaceDE w:val="0"/>
                    <w:autoSpaceDN w:val="0"/>
                    <w:adjustRightInd w:val="0"/>
                    <w:spacing w:after="0" w:line="240" w:lineRule="auto"/>
                    <w:rPr>
                      <w:rFonts w:ascii="Calibri" w:hAnsi="Calibri" w:cs="Calibri"/>
                      <w:color w:val="000000"/>
                      <w:sz w:val="20"/>
                      <w:szCs w:val="20"/>
                    </w:rPr>
                  </w:pPr>
                  <w:r w:rsidRPr="00850781">
                    <w:rPr>
                      <w:rFonts w:ascii="Calibri" w:hAnsi="Calibri" w:cs="Calibri"/>
                      <w:color w:val="000000"/>
                      <w:sz w:val="20"/>
                      <w:szCs w:val="20"/>
                    </w:rPr>
                    <w:t xml:space="preserve">Work experience is not appropriate for all of our students. Work based activities in school and visits to places of work such as shops, cinemas and restaurants may be a more appropriate for some students. </w:t>
                  </w:r>
                </w:p>
                <w:p w:rsidR="00482996" w:rsidRPr="00850781" w:rsidRDefault="00482996" w:rsidP="00482996">
                  <w:pPr>
                    <w:autoSpaceDE w:val="0"/>
                    <w:autoSpaceDN w:val="0"/>
                    <w:adjustRightInd w:val="0"/>
                    <w:spacing w:after="0" w:line="240" w:lineRule="auto"/>
                    <w:rPr>
                      <w:rFonts w:ascii="Calibri" w:hAnsi="Calibri" w:cs="Calibri"/>
                      <w:color w:val="000000"/>
                      <w:sz w:val="20"/>
                      <w:szCs w:val="20"/>
                    </w:rPr>
                  </w:pPr>
                </w:p>
              </w:tc>
            </w:tr>
          </w:tbl>
          <w:p w:rsidR="006227F8" w:rsidRPr="00850781" w:rsidRDefault="006227F8">
            <w:pPr>
              <w:rPr>
                <w:b/>
                <w:sz w:val="20"/>
                <w:szCs w:val="20"/>
              </w:rPr>
            </w:pPr>
          </w:p>
        </w:tc>
        <w:bookmarkStart w:id="0" w:name="_GoBack"/>
        <w:bookmarkEnd w:id="0"/>
      </w:tr>
      <w:tr w:rsidR="006227F8" w:rsidTr="006227F8">
        <w:tc>
          <w:tcPr>
            <w:tcW w:w="4724" w:type="dxa"/>
          </w:tcPr>
          <w:tbl>
            <w:tblPr>
              <w:tblW w:w="0" w:type="auto"/>
              <w:tblBorders>
                <w:top w:val="nil"/>
                <w:left w:val="nil"/>
                <w:bottom w:val="nil"/>
                <w:right w:val="nil"/>
              </w:tblBorders>
              <w:tblLook w:val="0000" w:firstRow="0" w:lastRow="0" w:firstColumn="0" w:lastColumn="0" w:noHBand="0" w:noVBand="0"/>
            </w:tblPr>
            <w:tblGrid>
              <w:gridCol w:w="3732"/>
            </w:tblGrid>
            <w:tr w:rsidR="00D034DD" w:rsidRPr="009B04D8">
              <w:trPr>
                <w:trHeight w:val="379"/>
              </w:trPr>
              <w:tc>
                <w:tcPr>
                  <w:tcW w:w="0" w:type="auto"/>
                </w:tcPr>
                <w:p w:rsidR="00D034DD" w:rsidRPr="009B04D8" w:rsidRDefault="00D034DD" w:rsidP="00D034DD">
                  <w:pPr>
                    <w:autoSpaceDE w:val="0"/>
                    <w:autoSpaceDN w:val="0"/>
                    <w:adjustRightInd w:val="0"/>
                    <w:spacing w:after="0" w:line="240" w:lineRule="auto"/>
                    <w:rPr>
                      <w:rFonts w:ascii="Calibri" w:hAnsi="Calibri" w:cs="Calibri"/>
                      <w:color w:val="000000"/>
                      <w:sz w:val="20"/>
                      <w:szCs w:val="20"/>
                    </w:rPr>
                  </w:pPr>
                  <w:r w:rsidRPr="009B04D8">
                    <w:rPr>
                      <w:rFonts w:ascii="Calibri" w:hAnsi="Calibri" w:cs="Calibri"/>
                      <w:b/>
                      <w:bCs/>
                      <w:color w:val="000000"/>
                      <w:sz w:val="20"/>
                      <w:szCs w:val="20"/>
                    </w:rPr>
                    <w:t xml:space="preserve">Encounters With Further Higher Education </w:t>
                  </w:r>
                </w:p>
              </w:tc>
            </w:tr>
          </w:tbl>
          <w:p w:rsidR="006227F8" w:rsidRPr="009B04D8" w:rsidRDefault="006227F8">
            <w:pPr>
              <w:rPr>
                <w:b/>
                <w:sz w:val="20"/>
                <w:szCs w:val="20"/>
              </w:rPr>
            </w:pPr>
          </w:p>
        </w:tc>
        <w:tc>
          <w:tcPr>
            <w:tcW w:w="4725" w:type="dxa"/>
          </w:tcPr>
          <w:p w:rsidR="00D034DD" w:rsidRPr="009B04D8" w:rsidRDefault="00D034DD" w:rsidP="00D034DD">
            <w:pPr>
              <w:pStyle w:val="Default"/>
              <w:rPr>
                <w:sz w:val="20"/>
                <w:szCs w:val="20"/>
              </w:rPr>
            </w:pPr>
            <w:r w:rsidRPr="009B04D8">
              <w:rPr>
                <w:sz w:val="20"/>
                <w:szCs w:val="20"/>
              </w:rPr>
              <w:t xml:space="preserve">All pupils should understand the full range of learning opportunities that are available to them. This includes both academic and vocational routes and learning in schools, universities and in the workplace. </w:t>
            </w:r>
          </w:p>
          <w:p w:rsidR="006227F8" w:rsidRPr="009B04D8" w:rsidRDefault="006227F8">
            <w:pPr>
              <w:rPr>
                <w:b/>
                <w:sz w:val="20"/>
                <w:szCs w:val="20"/>
              </w:rPr>
            </w:pPr>
          </w:p>
        </w:tc>
        <w:tc>
          <w:tcPr>
            <w:tcW w:w="4725" w:type="dxa"/>
          </w:tcPr>
          <w:p w:rsidR="006227F8" w:rsidRPr="000D032F" w:rsidRDefault="000D032F">
            <w:pPr>
              <w:rPr>
                <w:sz w:val="20"/>
                <w:szCs w:val="20"/>
              </w:rPr>
            </w:pPr>
            <w:r w:rsidRPr="000D032F">
              <w:rPr>
                <w:sz w:val="20"/>
                <w:szCs w:val="20"/>
              </w:rPr>
              <w:t>From year 12 onwards students visit different colleges. Parents and carers are</w:t>
            </w:r>
            <w:r>
              <w:rPr>
                <w:sz w:val="20"/>
                <w:szCs w:val="20"/>
              </w:rPr>
              <w:t xml:space="preserve"> invited along where appropriate </w:t>
            </w:r>
            <w:r w:rsidRPr="000D032F">
              <w:rPr>
                <w:sz w:val="20"/>
                <w:szCs w:val="20"/>
              </w:rPr>
              <w:t>Students are encouraged to attend open days.</w:t>
            </w:r>
            <w:r>
              <w:rPr>
                <w:sz w:val="20"/>
                <w:szCs w:val="20"/>
              </w:rPr>
              <w:t xml:space="preserve"> </w:t>
            </w:r>
            <w:r w:rsidRPr="000D032F">
              <w:rPr>
                <w:sz w:val="20"/>
                <w:szCs w:val="20"/>
              </w:rPr>
              <w:t xml:space="preserve">There are close links with Newark college and Portland college. Students visit for social occasions and this year are involved in the NCS programme at Portland. </w:t>
            </w:r>
          </w:p>
          <w:p w:rsidR="000D032F" w:rsidRPr="000D032F" w:rsidRDefault="000D032F">
            <w:pPr>
              <w:rPr>
                <w:b/>
                <w:sz w:val="20"/>
                <w:szCs w:val="20"/>
              </w:rPr>
            </w:pPr>
            <w:r w:rsidRPr="000D032F">
              <w:rPr>
                <w:sz w:val="20"/>
                <w:szCs w:val="20"/>
              </w:rPr>
              <w:t>Staff support transition and individual transition where appropriate including 1-1 support to attend interviews if necessary and develop travel skills to the college placement.</w:t>
            </w:r>
            <w:r>
              <w:rPr>
                <w:b/>
                <w:sz w:val="20"/>
                <w:szCs w:val="20"/>
              </w:rPr>
              <w:t xml:space="preserve"> </w:t>
            </w:r>
          </w:p>
        </w:tc>
      </w:tr>
      <w:tr w:rsidR="00D034DD" w:rsidTr="006227F8">
        <w:tc>
          <w:tcPr>
            <w:tcW w:w="4724" w:type="dxa"/>
          </w:tcPr>
          <w:p w:rsidR="00D034DD" w:rsidRPr="009B04D8" w:rsidRDefault="00D034DD" w:rsidP="00D034DD">
            <w:pPr>
              <w:pStyle w:val="Default"/>
              <w:rPr>
                <w:sz w:val="20"/>
                <w:szCs w:val="20"/>
              </w:rPr>
            </w:pPr>
            <w:r w:rsidRPr="009B04D8">
              <w:rPr>
                <w:b/>
                <w:bCs/>
                <w:sz w:val="20"/>
                <w:szCs w:val="20"/>
              </w:rPr>
              <w:t xml:space="preserve">Personal Guidance </w:t>
            </w:r>
          </w:p>
          <w:p w:rsidR="00D034DD" w:rsidRPr="009B04D8" w:rsidRDefault="00D034DD" w:rsidP="00D034DD">
            <w:pPr>
              <w:autoSpaceDE w:val="0"/>
              <w:autoSpaceDN w:val="0"/>
              <w:adjustRightInd w:val="0"/>
              <w:rPr>
                <w:rFonts w:ascii="Calibri" w:hAnsi="Calibri" w:cs="Calibri"/>
                <w:b/>
                <w:bCs/>
                <w:color w:val="000000"/>
                <w:sz w:val="20"/>
                <w:szCs w:val="20"/>
              </w:rPr>
            </w:pPr>
          </w:p>
        </w:tc>
        <w:tc>
          <w:tcPr>
            <w:tcW w:w="4725" w:type="dxa"/>
          </w:tcPr>
          <w:p w:rsidR="00D034DD" w:rsidRPr="009B04D8" w:rsidRDefault="00D034DD" w:rsidP="00D034DD">
            <w:pPr>
              <w:pStyle w:val="Default"/>
              <w:rPr>
                <w:sz w:val="20"/>
                <w:szCs w:val="20"/>
              </w:rPr>
            </w:pPr>
            <w:r w:rsidRPr="009B04D8">
              <w:rPr>
                <w:sz w:val="20"/>
                <w:szCs w:val="20"/>
              </w:rPr>
              <w:t xml:space="preserve">Every pupil should have opportunities for guidance interviews with a career adviser. These should be available whenever significant study or career choices </w:t>
            </w:r>
            <w:r w:rsidRPr="009B04D8">
              <w:rPr>
                <w:sz w:val="20"/>
                <w:szCs w:val="20"/>
              </w:rPr>
              <w:lastRenderedPageBreak/>
              <w:t xml:space="preserve">are being made. They should be expected for all pupils but timed to meet their individual needs. </w:t>
            </w:r>
          </w:p>
          <w:p w:rsidR="00D034DD" w:rsidRPr="009B04D8" w:rsidRDefault="00D034DD">
            <w:pPr>
              <w:rPr>
                <w:b/>
                <w:sz w:val="20"/>
                <w:szCs w:val="20"/>
              </w:rPr>
            </w:pPr>
          </w:p>
        </w:tc>
        <w:tc>
          <w:tcPr>
            <w:tcW w:w="4725" w:type="dxa"/>
          </w:tcPr>
          <w:tbl>
            <w:tblPr>
              <w:tblW w:w="0" w:type="auto"/>
              <w:tblBorders>
                <w:top w:val="nil"/>
                <w:left w:val="nil"/>
                <w:bottom w:val="nil"/>
                <w:right w:val="nil"/>
              </w:tblBorders>
              <w:tblLook w:val="0000" w:firstRow="0" w:lastRow="0" w:firstColumn="0" w:lastColumn="0" w:noHBand="0" w:noVBand="0"/>
            </w:tblPr>
            <w:tblGrid>
              <w:gridCol w:w="4509"/>
            </w:tblGrid>
            <w:tr w:rsidR="000D032F" w:rsidRPr="000D032F">
              <w:trPr>
                <w:trHeight w:val="1050"/>
              </w:trPr>
              <w:tc>
                <w:tcPr>
                  <w:tcW w:w="0" w:type="auto"/>
                </w:tcPr>
                <w:p w:rsidR="000D032F" w:rsidRPr="000D032F" w:rsidRDefault="000D032F" w:rsidP="009064B1">
                  <w:pPr>
                    <w:autoSpaceDE w:val="0"/>
                    <w:autoSpaceDN w:val="0"/>
                    <w:adjustRightInd w:val="0"/>
                    <w:spacing w:after="0" w:line="240" w:lineRule="auto"/>
                    <w:rPr>
                      <w:rFonts w:ascii="Calibri" w:hAnsi="Calibri" w:cs="Calibri"/>
                      <w:color w:val="000000"/>
                    </w:rPr>
                  </w:pPr>
                  <w:r>
                    <w:rPr>
                      <w:rFonts w:ascii="Calibri" w:hAnsi="Calibri" w:cs="Calibri"/>
                      <w:color w:val="000000"/>
                      <w:sz w:val="20"/>
                      <w:szCs w:val="20"/>
                    </w:rPr>
                    <w:lastRenderedPageBreak/>
                    <w:t xml:space="preserve">Students at Newark </w:t>
                  </w:r>
                  <w:r w:rsidR="00143CAE">
                    <w:rPr>
                      <w:rFonts w:ascii="Calibri" w:hAnsi="Calibri" w:cs="Calibri"/>
                      <w:color w:val="000000"/>
                      <w:sz w:val="20"/>
                      <w:szCs w:val="20"/>
                    </w:rPr>
                    <w:t>Orchard</w:t>
                  </w:r>
                  <w:r w:rsidRPr="000D032F">
                    <w:rPr>
                      <w:rFonts w:ascii="Calibri" w:hAnsi="Calibri" w:cs="Calibri"/>
                      <w:color w:val="000000"/>
                      <w:sz w:val="20"/>
                      <w:szCs w:val="20"/>
                    </w:rPr>
                    <w:t xml:space="preserve"> are given appropriate guidance on the</w:t>
                  </w:r>
                  <w:r w:rsidRPr="000D032F">
                    <w:rPr>
                      <w:rFonts w:ascii="Calibri" w:hAnsi="Calibri" w:cs="Calibri"/>
                      <w:color w:val="000000"/>
                    </w:rPr>
                    <w:t xml:space="preserve"> </w:t>
                  </w:r>
                  <w:r w:rsidRPr="000D032F">
                    <w:rPr>
                      <w:rFonts w:ascii="Calibri" w:hAnsi="Calibri" w:cs="Calibri"/>
                      <w:color w:val="000000"/>
                      <w:sz w:val="20"/>
                      <w:szCs w:val="20"/>
                    </w:rPr>
                    <w:t>possibility of work, employment or volunteering during the</w:t>
                  </w:r>
                  <w:r>
                    <w:rPr>
                      <w:rFonts w:ascii="Calibri" w:hAnsi="Calibri" w:cs="Calibri"/>
                      <w:color w:val="000000"/>
                      <w:sz w:val="20"/>
                      <w:szCs w:val="20"/>
                    </w:rPr>
                    <w:t xml:space="preserve">ir EHCP reviews by staff and </w:t>
                  </w:r>
                  <w:r>
                    <w:rPr>
                      <w:rFonts w:ascii="Calibri" w:hAnsi="Calibri" w:cs="Calibri"/>
                      <w:color w:val="000000"/>
                      <w:sz w:val="20"/>
                      <w:szCs w:val="20"/>
                    </w:rPr>
                    <w:lastRenderedPageBreak/>
                    <w:t xml:space="preserve">have 1-1 support form an independent careers advisor. </w:t>
                  </w:r>
                  <w:r w:rsidR="009064B1">
                    <w:rPr>
                      <w:rFonts w:ascii="Calibri" w:hAnsi="Calibri" w:cs="Calibri"/>
                      <w:color w:val="000000"/>
                      <w:sz w:val="20"/>
                      <w:szCs w:val="20"/>
                    </w:rPr>
                    <w:t>During the EHC the best pathway is discussed and Students</w:t>
                  </w:r>
                  <w:r w:rsidRPr="000D032F">
                    <w:rPr>
                      <w:rFonts w:ascii="Calibri" w:hAnsi="Calibri" w:cs="Calibri"/>
                      <w:color w:val="000000"/>
                      <w:sz w:val="20"/>
                      <w:szCs w:val="20"/>
                    </w:rPr>
                    <w:t xml:space="preserve"> and their families are given honest advice and the best </w:t>
                  </w:r>
                  <w:r w:rsidR="009064B1">
                    <w:rPr>
                      <w:rFonts w:ascii="Calibri" w:hAnsi="Calibri" w:cs="Calibri"/>
                      <w:color w:val="000000"/>
                      <w:sz w:val="20"/>
                      <w:szCs w:val="20"/>
                    </w:rPr>
                    <w:t>routes to get them there. Generally Students</w:t>
                  </w:r>
                  <w:r w:rsidRPr="000D032F">
                    <w:rPr>
                      <w:rFonts w:ascii="Calibri" w:hAnsi="Calibri" w:cs="Calibri"/>
                      <w:color w:val="000000"/>
                      <w:sz w:val="20"/>
                      <w:szCs w:val="20"/>
                    </w:rPr>
                    <w:t xml:space="preserve"> go on to college or </w:t>
                  </w:r>
                  <w:r w:rsidR="009064B1">
                    <w:rPr>
                      <w:rFonts w:ascii="Calibri" w:hAnsi="Calibri" w:cs="Calibri"/>
                      <w:color w:val="000000"/>
                      <w:sz w:val="20"/>
                      <w:szCs w:val="20"/>
                    </w:rPr>
                    <w:t>life skills/day care facilities. Some students go on to apprenticeships or part time jobs. P</w:t>
                  </w:r>
                  <w:r w:rsidRPr="000D032F">
                    <w:rPr>
                      <w:rFonts w:ascii="Calibri" w:hAnsi="Calibri" w:cs="Calibri"/>
                      <w:color w:val="000000"/>
                      <w:sz w:val="20"/>
                      <w:szCs w:val="20"/>
                    </w:rPr>
                    <w:t>arents</w:t>
                  </w:r>
                  <w:r w:rsidR="009064B1">
                    <w:rPr>
                      <w:rFonts w:ascii="Calibri" w:hAnsi="Calibri" w:cs="Calibri"/>
                      <w:color w:val="000000"/>
                      <w:sz w:val="20"/>
                      <w:szCs w:val="20"/>
                    </w:rPr>
                    <w:t>/Carers and students</w:t>
                  </w:r>
                  <w:r w:rsidRPr="000D032F">
                    <w:rPr>
                      <w:rFonts w:ascii="Calibri" w:hAnsi="Calibri" w:cs="Calibri"/>
                      <w:color w:val="000000"/>
                      <w:sz w:val="20"/>
                      <w:szCs w:val="20"/>
                    </w:rPr>
                    <w:t xml:space="preserve"> are support</w:t>
                  </w:r>
                  <w:r w:rsidR="009064B1">
                    <w:rPr>
                      <w:rFonts w:ascii="Calibri" w:hAnsi="Calibri" w:cs="Calibri"/>
                      <w:color w:val="000000"/>
                      <w:sz w:val="20"/>
                      <w:szCs w:val="20"/>
                    </w:rPr>
                    <w:t xml:space="preserve">ed with applying to the college and with any transition that follows as far as possible. At Newark Orchard we believe it is important to work together with parents/carers and college to aid a smooth transition. </w:t>
                  </w:r>
                </w:p>
              </w:tc>
            </w:tr>
          </w:tbl>
          <w:p w:rsidR="00D034DD" w:rsidRDefault="00D034DD">
            <w:pPr>
              <w:rPr>
                <w:b/>
                <w:sz w:val="28"/>
                <w:szCs w:val="28"/>
              </w:rPr>
            </w:pPr>
          </w:p>
        </w:tc>
      </w:tr>
    </w:tbl>
    <w:p w:rsidR="006227F8" w:rsidRDefault="006227F8">
      <w:pPr>
        <w:rPr>
          <w:b/>
          <w:sz w:val="28"/>
          <w:szCs w:val="28"/>
        </w:rPr>
      </w:pPr>
    </w:p>
    <w:p w:rsidR="006227F8" w:rsidRPr="006227F8" w:rsidRDefault="006227F8">
      <w:pPr>
        <w:rPr>
          <w:b/>
          <w:sz w:val="28"/>
          <w:szCs w:val="28"/>
        </w:rPr>
      </w:pPr>
    </w:p>
    <w:sectPr w:rsidR="006227F8" w:rsidRPr="006227F8" w:rsidSect="006227F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F8"/>
    <w:rsid w:val="000D032F"/>
    <w:rsid w:val="00143CAE"/>
    <w:rsid w:val="002A0034"/>
    <w:rsid w:val="002C559E"/>
    <w:rsid w:val="00342228"/>
    <w:rsid w:val="003E6D97"/>
    <w:rsid w:val="004111BF"/>
    <w:rsid w:val="00482996"/>
    <w:rsid w:val="004C3697"/>
    <w:rsid w:val="006227F8"/>
    <w:rsid w:val="007425A2"/>
    <w:rsid w:val="00850781"/>
    <w:rsid w:val="008525E0"/>
    <w:rsid w:val="008660B4"/>
    <w:rsid w:val="0088339F"/>
    <w:rsid w:val="008917C3"/>
    <w:rsid w:val="009064B1"/>
    <w:rsid w:val="0092441C"/>
    <w:rsid w:val="009B04D8"/>
    <w:rsid w:val="00A674A9"/>
    <w:rsid w:val="00B06B16"/>
    <w:rsid w:val="00C07FB5"/>
    <w:rsid w:val="00C16920"/>
    <w:rsid w:val="00D03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27F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27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HEAD</cp:lastModifiedBy>
  <cp:revision>2</cp:revision>
  <dcterms:created xsi:type="dcterms:W3CDTF">2019-06-10T17:26:00Z</dcterms:created>
  <dcterms:modified xsi:type="dcterms:W3CDTF">2019-06-10T17:26:00Z</dcterms:modified>
</cp:coreProperties>
</file>